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D2" w:rsidRPr="00FD4AE7" w:rsidRDefault="00DC10DD" w:rsidP="005F5917">
      <w:pPr>
        <w:pStyle w:val="Header"/>
        <w:jc w:val="both"/>
        <w:rPr>
          <w:rFonts w:cstheme="minorHAnsi"/>
          <w:b/>
          <w:noProof/>
          <w:color w:val="649321"/>
          <w:bdr w:val="none" w:sz="0" w:space="0" w:color="auto" w:frame="1"/>
          <w:shd w:val="clear" w:color="auto" w:fill="FFFFFF"/>
        </w:rPr>
      </w:pPr>
      <w:r>
        <w:rPr>
          <w:rFonts w:cstheme="minorHAnsi"/>
          <w:b/>
          <w:noProof/>
          <w:color w:val="649321"/>
          <w:bdr w:val="none" w:sz="0" w:space="0" w:color="auto" w:frame="1"/>
          <w:shd w:val="clear" w:color="auto" w:fill="FFFFFF"/>
        </w:rPr>
        <w:t xml:space="preserve"> </w:t>
      </w:r>
    </w:p>
    <w:p w:rsidR="009833BB" w:rsidRPr="00FD4AE7" w:rsidRDefault="00271346" w:rsidP="005F5917">
      <w:pPr>
        <w:pStyle w:val="Header"/>
        <w:jc w:val="both"/>
        <w:rPr>
          <w:rFonts w:cstheme="minorHAnsi"/>
          <w:b/>
          <w:bCs/>
          <w:noProof/>
          <w:color w:val="649321"/>
          <w:sz w:val="40"/>
          <w:szCs w:val="40"/>
          <w:bdr w:val="none" w:sz="0" w:space="0" w:color="auto" w:frame="1"/>
          <w:shd w:val="clear" w:color="auto" w:fill="FFFFFF"/>
        </w:rPr>
      </w:pPr>
      <w:r w:rsidRPr="00271346">
        <w:rPr>
          <w:rFonts w:cstheme="minorHAnsi"/>
          <w:b/>
          <w:bCs/>
          <w:noProof/>
          <w:color w:val="649321"/>
          <w:sz w:val="40"/>
          <w:szCs w:val="40"/>
          <w:bdr w:val="none" w:sz="0" w:space="0" w:color="auto" w:frame="1"/>
          <w:shd w:val="clear" w:color="auto" w:fill="FFFFFF"/>
        </w:rPr>
        <w:t xml:space="preserve">Date of service of notice is date of its actual receipt by assessee </w:t>
      </w:r>
    </w:p>
    <w:p w:rsidR="00FD4AE7" w:rsidRPr="00FD4AE7" w:rsidRDefault="00FD4AE7" w:rsidP="005F5917">
      <w:pPr>
        <w:pStyle w:val="Header"/>
        <w:jc w:val="both"/>
        <w:rPr>
          <w:rFonts w:cstheme="minorHAnsi"/>
          <w:b/>
          <w:bCs/>
          <w:noProof/>
          <w:color w:val="649321"/>
          <w:bdr w:val="none" w:sz="0" w:space="0" w:color="auto" w:frame="1"/>
          <w:shd w:val="clear" w:color="auto" w:fill="FFFFFF"/>
        </w:rPr>
      </w:pPr>
    </w:p>
    <w:p w:rsidR="000C74A5" w:rsidRDefault="007422D2" w:rsidP="000C74A5">
      <w:pPr>
        <w:pStyle w:val="Header"/>
        <w:jc w:val="both"/>
        <w:rPr>
          <w:rFonts w:cstheme="minorHAnsi"/>
          <w:b/>
          <w:bCs/>
          <w:color w:val="000000"/>
          <w:shd w:val="clear" w:color="auto" w:fill="FFFFFF"/>
        </w:rPr>
      </w:pPr>
      <w:r w:rsidRPr="00FD4AE7">
        <w:rPr>
          <w:rFonts w:cstheme="minorHAnsi"/>
          <w:b/>
          <w:bCs/>
          <w:color w:val="000000"/>
          <w:shd w:val="clear" w:color="auto" w:fill="FFFFFF"/>
        </w:rPr>
        <w:t xml:space="preserve">Summary </w:t>
      </w:r>
      <w:r w:rsidR="00DF0493" w:rsidRPr="00FD4AE7">
        <w:rPr>
          <w:rFonts w:cstheme="minorHAnsi"/>
          <w:b/>
          <w:bCs/>
          <w:color w:val="000000"/>
          <w:shd w:val="clear" w:color="auto" w:fill="FFFFFF"/>
        </w:rPr>
        <w:t>–</w:t>
      </w:r>
      <w:r w:rsidRPr="00FD4AE7">
        <w:rPr>
          <w:rFonts w:cstheme="minorHAnsi"/>
          <w:b/>
          <w:bCs/>
          <w:color w:val="000000"/>
          <w:shd w:val="clear" w:color="auto" w:fill="FFFFFF"/>
        </w:rPr>
        <w:t xml:space="preserve"> </w:t>
      </w:r>
      <w:r w:rsidR="006A4777">
        <w:rPr>
          <w:rFonts w:cstheme="minorHAnsi"/>
          <w:b/>
          <w:bCs/>
          <w:color w:val="000000"/>
          <w:shd w:val="clear" w:color="auto" w:fill="FFFFFF"/>
        </w:rPr>
        <w:t xml:space="preserve">The </w:t>
      </w:r>
      <w:r w:rsidR="000C74A5">
        <w:rPr>
          <w:rFonts w:cstheme="minorHAnsi"/>
          <w:b/>
          <w:bCs/>
          <w:color w:val="000000"/>
          <w:shd w:val="clear" w:color="auto" w:fill="FFFFFF"/>
        </w:rPr>
        <w:t>Delhi</w:t>
      </w:r>
      <w:r w:rsidR="00A9579B">
        <w:rPr>
          <w:rFonts w:cstheme="minorHAnsi"/>
          <w:b/>
          <w:bCs/>
          <w:color w:val="000000"/>
          <w:shd w:val="clear" w:color="auto" w:fill="FFFFFF"/>
        </w:rPr>
        <w:t xml:space="preserve"> ITAT</w:t>
      </w:r>
      <w:r w:rsidR="00380DD1">
        <w:rPr>
          <w:rFonts w:cstheme="minorHAnsi"/>
          <w:b/>
          <w:bCs/>
          <w:color w:val="000000"/>
          <w:shd w:val="clear" w:color="auto" w:fill="FFFFFF"/>
        </w:rPr>
        <w:t xml:space="preserve"> </w:t>
      </w:r>
      <w:r w:rsidR="00E46351">
        <w:rPr>
          <w:rFonts w:cstheme="minorHAnsi"/>
          <w:b/>
          <w:bCs/>
          <w:color w:val="000000"/>
          <w:shd w:val="clear" w:color="auto" w:fill="FFFFFF"/>
        </w:rPr>
        <w:t>in a recent case of</w:t>
      </w:r>
      <w:r w:rsidR="00A9579B">
        <w:rPr>
          <w:rFonts w:cstheme="minorHAnsi"/>
          <w:b/>
          <w:bCs/>
          <w:color w:val="000000"/>
          <w:shd w:val="clear" w:color="auto" w:fill="FFFFFF"/>
        </w:rPr>
        <w:t xml:space="preserve"> </w:t>
      </w:r>
      <w:r w:rsidR="007C4691" w:rsidRPr="007C4691">
        <w:rPr>
          <w:rFonts w:cstheme="minorHAnsi"/>
          <w:b/>
          <w:bCs/>
          <w:color w:val="000000"/>
          <w:shd w:val="clear" w:color="auto" w:fill="FFFFFF"/>
        </w:rPr>
        <w:t>OIP Sensor Systems India Liaison Office</w:t>
      </w:r>
      <w:r w:rsidR="006A4777">
        <w:rPr>
          <w:rFonts w:cstheme="minorHAnsi"/>
          <w:b/>
          <w:bCs/>
          <w:color w:val="000000"/>
          <w:shd w:val="clear" w:color="auto" w:fill="FFFFFF"/>
        </w:rPr>
        <w:t xml:space="preserve">, (the </w:t>
      </w:r>
      <w:r w:rsidR="00935E9E" w:rsidRPr="00935E9E">
        <w:rPr>
          <w:rFonts w:cstheme="minorHAnsi"/>
          <w:b/>
          <w:bCs/>
          <w:color w:val="000000"/>
          <w:shd w:val="clear" w:color="auto" w:fill="FFFFFF"/>
        </w:rPr>
        <w:t>Assessee</w:t>
      </w:r>
      <w:r w:rsidR="006A4777">
        <w:rPr>
          <w:rFonts w:cstheme="minorHAnsi"/>
          <w:b/>
          <w:bCs/>
          <w:color w:val="000000"/>
          <w:shd w:val="clear" w:color="auto" w:fill="FFFFFF"/>
        </w:rPr>
        <w:t>)</w:t>
      </w:r>
      <w:r w:rsidR="005E1256">
        <w:rPr>
          <w:rFonts w:cstheme="minorHAnsi"/>
          <w:b/>
          <w:bCs/>
          <w:color w:val="000000"/>
          <w:shd w:val="clear" w:color="auto" w:fill="FFFFFF"/>
        </w:rPr>
        <w:t xml:space="preserve"> held that</w:t>
      </w:r>
      <w:r w:rsidR="00E51CCB">
        <w:rPr>
          <w:rFonts w:cstheme="minorHAnsi"/>
          <w:b/>
          <w:bCs/>
          <w:color w:val="000000"/>
          <w:shd w:val="clear" w:color="auto" w:fill="FFFFFF"/>
        </w:rPr>
        <w:t xml:space="preserve"> </w:t>
      </w:r>
      <w:r w:rsidR="00271346">
        <w:rPr>
          <w:rFonts w:cstheme="minorHAnsi"/>
          <w:b/>
          <w:bCs/>
          <w:color w:val="000000"/>
          <w:shd w:val="clear" w:color="auto" w:fill="FFFFFF"/>
        </w:rPr>
        <w:t>d</w:t>
      </w:r>
      <w:r w:rsidR="00271346" w:rsidRPr="00271346">
        <w:rPr>
          <w:rFonts w:cstheme="minorHAnsi"/>
          <w:b/>
          <w:bCs/>
          <w:color w:val="000000"/>
          <w:shd w:val="clear" w:color="auto" w:fill="FFFFFF"/>
        </w:rPr>
        <w:t>ate of service of notice is date of its actual receipt by assessee</w:t>
      </w:r>
      <w:r w:rsidR="00840262">
        <w:rPr>
          <w:rFonts w:cstheme="minorHAnsi"/>
          <w:b/>
          <w:bCs/>
          <w:color w:val="000000"/>
          <w:shd w:val="clear" w:color="auto" w:fill="FFFFFF"/>
        </w:rPr>
        <w:t>.</w:t>
      </w:r>
    </w:p>
    <w:p w:rsidR="00E30EA4" w:rsidRDefault="00E30EA4" w:rsidP="005F5917">
      <w:pPr>
        <w:pStyle w:val="Header"/>
        <w:jc w:val="both"/>
        <w:rPr>
          <w:rFonts w:cstheme="minorHAnsi"/>
          <w:b/>
          <w:bCs/>
          <w:color w:val="000000"/>
          <w:shd w:val="clear" w:color="auto" w:fill="FFFFFF"/>
        </w:rPr>
      </w:pPr>
    </w:p>
    <w:p w:rsidR="007422D2" w:rsidRPr="00FD4AE7" w:rsidRDefault="007422D2" w:rsidP="005F5917">
      <w:pPr>
        <w:pStyle w:val="Header"/>
        <w:jc w:val="both"/>
        <w:rPr>
          <w:rFonts w:cstheme="minorHAnsi"/>
          <w:color w:val="000000"/>
        </w:rPr>
      </w:pPr>
      <w:r w:rsidRPr="00FD4AE7">
        <w:rPr>
          <w:rFonts w:cstheme="minorHAnsi"/>
          <w:b/>
          <w:bCs/>
          <w:color w:val="000000"/>
        </w:rPr>
        <w:t>Facts</w:t>
      </w:r>
    </w:p>
    <w:p w:rsidR="00E46351" w:rsidRDefault="00E46351" w:rsidP="00E46351">
      <w:pPr>
        <w:pStyle w:val="Header"/>
        <w:ind w:left="360"/>
        <w:jc w:val="both"/>
      </w:pPr>
    </w:p>
    <w:p w:rsidR="00CD56B3" w:rsidRDefault="003D7AB9" w:rsidP="001B672D">
      <w:pPr>
        <w:pStyle w:val="Header"/>
        <w:numPr>
          <w:ilvl w:val="0"/>
          <w:numId w:val="12"/>
        </w:numPr>
        <w:jc w:val="both"/>
      </w:pPr>
      <w:r w:rsidRPr="003D7AB9">
        <w:t>The assessee, liaison office of a foreign company, filed its return on 18-10-2007. The notice under section 143(2) had been served upon the assessee on 1-10-2008, which was beyond the prescribed time limit. The assessee claimed that said notice was invalid and void</w:t>
      </w:r>
      <w:r w:rsidR="009A1F36">
        <w:t>.</w:t>
      </w:r>
    </w:p>
    <w:p w:rsidR="003D7AB9" w:rsidRDefault="003D7AB9" w:rsidP="001B672D">
      <w:pPr>
        <w:pStyle w:val="Header"/>
        <w:numPr>
          <w:ilvl w:val="0"/>
          <w:numId w:val="12"/>
        </w:numPr>
        <w:jc w:val="both"/>
      </w:pPr>
      <w:r w:rsidRPr="003D7AB9">
        <w:t>The Assessing Officer, however, rejected this objection on ground that 'service of notice by post' had nowhere been defined in the Act, and as such, according to section 27 of the General Clauses Act, 1897 notice was properly addressed and sent by speed post. He completed assessment accordingly.</w:t>
      </w:r>
    </w:p>
    <w:p w:rsidR="003D7AB9" w:rsidRDefault="003D7AB9" w:rsidP="001B672D">
      <w:pPr>
        <w:pStyle w:val="Header"/>
        <w:numPr>
          <w:ilvl w:val="0"/>
          <w:numId w:val="12"/>
        </w:numPr>
        <w:jc w:val="both"/>
      </w:pPr>
      <w:r w:rsidRPr="003D7AB9">
        <w:t>On appeal, the assessee submitted that assessment was barred by limitation.</w:t>
      </w:r>
    </w:p>
    <w:p w:rsidR="00935E9E" w:rsidRDefault="00935E9E" w:rsidP="008568F4">
      <w:pPr>
        <w:pStyle w:val="Header"/>
        <w:jc w:val="both"/>
      </w:pPr>
    </w:p>
    <w:p w:rsidR="00BF303C" w:rsidRPr="001822A4" w:rsidRDefault="003C098B" w:rsidP="005F5917">
      <w:pPr>
        <w:pStyle w:val="NormalWeb"/>
        <w:shd w:val="clear" w:color="auto" w:fill="FFFFFF"/>
        <w:spacing w:before="0" w:beforeAutospacing="0" w:after="160" w:afterAutospacing="0"/>
        <w:ind w:right="454"/>
        <w:jc w:val="both"/>
        <w:rPr>
          <w:rFonts w:asciiTheme="minorHAnsi" w:hAnsiTheme="minorHAnsi" w:cstheme="minorHAnsi"/>
          <w:b/>
          <w:bCs/>
          <w:color w:val="000000"/>
          <w:sz w:val="22"/>
          <w:szCs w:val="22"/>
        </w:rPr>
      </w:pPr>
      <w:r w:rsidRPr="001822A4">
        <w:rPr>
          <w:rFonts w:asciiTheme="minorHAnsi" w:hAnsiTheme="minorHAnsi" w:cstheme="minorHAnsi"/>
          <w:b/>
          <w:bCs/>
          <w:color w:val="000000"/>
          <w:sz w:val="22"/>
          <w:szCs w:val="22"/>
        </w:rPr>
        <w:t>Held</w:t>
      </w:r>
    </w:p>
    <w:p w:rsidR="00DC63EB" w:rsidRDefault="003D7AB9" w:rsidP="00F31D63">
      <w:pPr>
        <w:pStyle w:val="ListParagraph"/>
        <w:numPr>
          <w:ilvl w:val="0"/>
          <w:numId w:val="10"/>
        </w:numPr>
        <w:jc w:val="both"/>
      </w:pPr>
      <w:r w:rsidRPr="003D7AB9">
        <w:t>The assessee contends that it is proviso substituted by the Finance Act, 2008, w.e.f. 1-4-2008, which is the governing proviso in the case at hand. The department, per contra, is of the view that it is the erstwhile proviso which is applicable and not the amended one</w:t>
      </w:r>
      <w:r w:rsidR="009820ED" w:rsidRPr="009820ED">
        <w:t>.</w:t>
      </w:r>
    </w:p>
    <w:p w:rsidR="003D7AB9" w:rsidRDefault="003D7AB9" w:rsidP="00F31D63">
      <w:pPr>
        <w:pStyle w:val="ListParagraph"/>
        <w:numPr>
          <w:ilvl w:val="0"/>
          <w:numId w:val="10"/>
        </w:numPr>
        <w:jc w:val="both"/>
      </w:pPr>
      <w:r w:rsidRPr="003D7AB9">
        <w:t>The stand of the assessee in this regard, is that the amendment bringing in the new proviso is a procedural amendment and it is, therefore, applicable to pending assessments including the assessment of the assessee.</w:t>
      </w:r>
    </w:p>
    <w:p w:rsidR="003D7AB9" w:rsidRDefault="003D7AB9" w:rsidP="00F31D63">
      <w:pPr>
        <w:pStyle w:val="ListParagraph"/>
        <w:numPr>
          <w:ilvl w:val="0"/>
          <w:numId w:val="10"/>
        </w:numPr>
        <w:jc w:val="both"/>
      </w:pPr>
      <w:r w:rsidRPr="003D7AB9">
        <w:t>Undeniably, so far as the aspect of limitation is concerned, the governing provisions regarding the limitation are procedural provisions and, hence, retrospective in nature, a position also recognized by the CBDT while issuing Circular No. 1 of 2009, dated 27-3-2009, which is binding on the taxing authorities.</w:t>
      </w:r>
    </w:p>
    <w:p w:rsidR="003D7AB9" w:rsidRDefault="003D7AB9" w:rsidP="00F31D63">
      <w:pPr>
        <w:pStyle w:val="ListParagraph"/>
        <w:numPr>
          <w:ilvl w:val="0"/>
          <w:numId w:val="10"/>
        </w:numPr>
        <w:jc w:val="both"/>
      </w:pPr>
      <w:r w:rsidRPr="003D7AB9">
        <w:t>In keeping with the above, since the return in this case was filed on 18-10-2007, the limitation for service of notice under section 143(2), in accordance with the applicable proviso to section 143(2)(ii), would be six months from the end of the financial year in which the return is furnished. The notice under section 143(2) having been issued on 30-9-2008, is, clearly, beyond the limitation prescribed.</w:t>
      </w:r>
    </w:p>
    <w:p w:rsidR="003D7AB9" w:rsidRDefault="003D7AB9" w:rsidP="00F31D63">
      <w:pPr>
        <w:pStyle w:val="ListParagraph"/>
        <w:numPr>
          <w:ilvl w:val="0"/>
          <w:numId w:val="10"/>
        </w:numPr>
        <w:jc w:val="both"/>
      </w:pPr>
      <w:r w:rsidRPr="003D7AB9">
        <w:t>The next point raised by the assessee is that date of service of the notice under section 143(2) is the date of the actual service and not the date of issuance of such notice. The authorities below have taken the date of issuance of notice, i.e., 30-9-2008 as the deemed date of service, seeking to invoke the provisions of section 27 of the General Clauses Act. The assessee, on the other hand, maintains that since the notice was served on 1-10-2008, it is this date which is the date of service of notice and which date is beyond the limitation prescribed by the applicable proviso to section 143(2)(ii).</w:t>
      </w:r>
    </w:p>
    <w:p w:rsidR="003D7AB9" w:rsidRDefault="003D7AB9" w:rsidP="00F31D63">
      <w:pPr>
        <w:pStyle w:val="ListParagraph"/>
        <w:numPr>
          <w:ilvl w:val="0"/>
          <w:numId w:val="10"/>
        </w:numPr>
        <w:jc w:val="both"/>
      </w:pPr>
      <w:r w:rsidRPr="003D7AB9">
        <w:lastRenderedPageBreak/>
        <w:t>The amended proviso to section 143(2)(ii) is the specific provision governing the limitation in question. Therefore, there is no justification in taking recourse to the provisions of the General Clauses Act.</w:t>
      </w:r>
    </w:p>
    <w:p w:rsidR="003D7AB9" w:rsidRDefault="003D7AB9" w:rsidP="00F31D63">
      <w:pPr>
        <w:pStyle w:val="ListParagraph"/>
        <w:numPr>
          <w:ilvl w:val="0"/>
          <w:numId w:val="10"/>
        </w:numPr>
        <w:jc w:val="both"/>
      </w:pPr>
      <w:r w:rsidRPr="003D7AB9">
        <w:t>The contention of the assessee is accepted and it is held that the authorities below have erred in taking the date of issuance of the notice under section 143(2), i.e., 30-9-2008 as the deemed date of the service of such notice on the assessee. In fact, in view of the above, the date of service of notice is the date of its actual receipt by the assessee, i.e., 1-10-2008.</w:t>
      </w:r>
    </w:p>
    <w:p w:rsidR="003D7AB9" w:rsidRDefault="003D7AB9" w:rsidP="00F31D63">
      <w:pPr>
        <w:pStyle w:val="ListParagraph"/>
        <w:numPr>
          <w:ilvl w:val="0"/>
          <w:numId w:val="10"/>
        </w:numPr>
        <w:jc w:val="both"/>
      </w:pPr>
      <w:r w:rsidRPr="003D7AB9">
        <w:t>The notice under section 143(2) was served on the assessee beyond the time limit prescribed by the proviso to section 143(2)(ii) as applicable. Accordingly, all proceedings pursuant to such notice are held to be illegal.</w:t>
      </w:r>
    </w:p>
    <w:sectPr w:rsidR="003D7AB9" w:rsidSect="00C446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509" w:rsidRDefault="00477509" w:rsidP="00751260">
      <w:pPr>
        <w:spacing w:after="0" w:line="240" w:lineRule="auto"/>
      </w:pPr>
      <w:r>
        <w:separator/>
      </w:r>
    </w:p>
  </w:endnote>
  <w:endnote w:type="continuationSeparator" w:id="1">
    <w:p w:rsidR="00477509" w:rsidRDefault="00477509" w:rsidP="007512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A3" w:rsidRDefault="00ED6C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03A" w:rsidRPr="00E00133" w:rsidRDefault="00D35181" w:rsidP="00AC703A">
    <w:pPr>
      <w:pStyle w:val="Footer"/>
      <w:jc w:val="center"/>
      <w:rPr>
        <w:rFonts w:cs="Arial"/>
        <w:b/>
        <w:noProof/>
        <w:color w:val="649321"/>
        <w:sz w:val="24"/>
        <w:szCs w:val="24"/>
        <w:bdr w:val="none" w:sz="0" w:space="0" w:color="auto" w:frame="1"/>
        <w:shd w:val="clear" w:color="auto" w:fill="FFFFFF"/>
      </w:rPr>
    </w:pPr>
    <w:hyperlink r:id="rId1" w:history="1">
      <w:r w:rsidR="00AC703A" w:rsidRPr="00E00133">
        <w:rPr>
          <w:rFonts w:cs="Arial"/>
          <w:b/>
          <w:noProof/>
          <w:color w:val="649321"/>
          <w:sz w:val="24"/>
          <w:szCs w:val="24"/>
          <w:bdr w:val="none" w:sz="0" w:space="0" w:color="auto" w:frame="1"/>
          <w:shd w:val="clear" w:color="auto" w:fill="FFFFFF"/>
        </w:rPr>
        <w:t>www.tenettaxlegal.com</w:t>
      </w:r>
    </w:hyperlink>
  </w:p>
  <w:p w:rsidR="00AC703A" w:rsidRDefault="00F95593" w:rsidP="00AC703A">
    <w:pPr>
      <w:pStyle w:val="Footer"/>
      <w:jc w:val="center"/>
    </w:pPr>
    <w:r>
      <w:rPr>
        <w:rFonts w:cs="Arial"/>
        <w:b/>
        <w:noProof/>
        <w:color w:val="649321"/>
        <w:sz w:val="24"/>
        <w:szCs w:val="24"/>
        <w:bdr w:val="none" w:sz="0" w:space="0" w:color="auto" w:frame="1"/>
        <w:shd w:val="clear" w:color="auto" w:fill="FFFFFF"/>
      </w:rPr>
      <w:t>© 2014</w:t>
    </w:r>
    <w:r w:rsidR="00AC703A" w:rsidRPr="00E00133">
      <w:rPr>
        <w:rFonts w:cs="Arial"/>
        <w:b/>
        <w:noProof/>
        <w:color w:val="649321"/>
        <w:sz w:val="24"/>
        <w:szCs w:val="24"/>
        <w:bdr w:val="none" w:sz="0" w:space="0" w:color="auto" w:frame="1"/>
        <w:shd w:val="clear" w:color="auto" w:fill="FFFFFF"/>
      </w:rPr>
      <w:t>, Tenet Tax &amp; Legal Private Limited</w:t>
    </w:r>
  </w:p>
  <w:p w:rsidR="00AC703A" w:rsidRDefault="00AC703A">
    <w:pPr>
      <w:pStyle w:val="Footer"/>
    </w:pPr>
  </w:p>
  <w:p w:rsidR="00AC703A" w:rsidRDefault="00AC70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A3" w:rsidRDefault="00ED6C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509" w:rsidRDefault="00477509" w:rsidP="00751260">
      <w:pPr>
        <w:spacing w:after="0" w:line="240" w:lineRule="auto"/>
      </w:pPr>
      <w:r>
        <w:separator/>
      </w:r>
    </w:p>
  </w:footnote>
  <w:footnote w:type="continuationSeparator" w:id="1">
    <w:p w:rsidR="00477509" w:rsidRDefault="00477509" w:rsidP="007512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A3" w:rsidRDefault="00ED6C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03A" w:rsidRPr="00E00133" w:rsidRDefault="00AC703A" w:rsidP="00AC703A">
    <w:pPr>
      <w:pStyle w:val="Header"/>
      <w:rPr>
        <w:rFonts w:cs="Arial"/>
        <w:b/>
        <w:noProof/>
        <w:color w:val="649321"/>
        <w:sz w:val="40"/>
        <w:szCs w:val="40"/>
        <w:bdr w:val="none" w:sz="0" w:space="0" w:color="auto" w:frame="1"/>
        <w:shd w:val="clear" w:color="auto" w:fill="FFFFFF"/>
      </w:rPr>
    </w:pPr>
    <w:r w:rsidRPr="00751260">
      <w:rPr>
        <w:rFonts w:cs="Arial"/>
        <w:noProof/>
        <w:color w:val="649321"/>
        <w:sz w:val="44"/>
        <w:szCs w:val="44"/>
        <w:bdr w:val="none" w:sz="0" w:space="0" w:color="auto" w:frame="1"/>
        <w:shd w:val="clear" w:color="auto" w:fill="FFFFFF"/>
      </w:rPr>
      <w:drawing>
        <wp:inline distT="0" distB="0" distL="0" distR="0">
          <wp:extent cx="2156604" cy="439947"/>
          <wp:effectExtent l="19050" t="0" r="0" b="0"/>
          <wp:docPr id="2"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pic:cNvPicPr>
                    <a:picLocks noChangeAspect="1" noChangeArrowheads="1"/>
                  </pic:cNvPicPr>
                </pic:nvPicPr>
                <pic:blipFill>
                  <a:blip r:embed="rId1"/>
                  <a:srcRect/>
                  <a:stretch>
                    <a:fillRect/>
                  </a:stretch>
                </pic:blipFill>
                <pic:spPr bwMode="auto">
                  <a:xfrm>
                    <a:off x="0" y="0"/>
                    <a:ext cx="2156595" cy="439945"/>
                  </a:xfrm>
                  <a:prstGeom prst="rect">
                    <a:avLst/>
                  </a:prstGeom>
                  <a:noFill/>
                  <a:ln w="9525">
                    <a:noFill/>
                    <a:miter lim="800000"/>
                    <a:headEnd/>
                    <a:tailEnd/>
                  </a:ln>
                </pic:spPr>
              </pic:pic>
            </a:graphicData>
          </a:graphic>
        </wp:inline>
      </w:drawing>
    </w:r>
    <w:r w:rsidRPr="00751260">
      <w:rPr>
        <w:rFonts w:cs="Arial"/>
        <w:noProof/>
        <w:color w:val="649321"/>
        <w:sz w:val="44"/>
        <w:szCs w:val="44"/>
        <w:bdr w:val="none" w:sz="0" w:space="0" w:color="auto" w:frame="1"/>
        <w:shd w:val="clear" w:color="auto" w:fill="FFFFFF"/>
      </w:rPr>
      <w:t xml:space="preserve"> </w:t>
    </w:r>
    <w:r>
      <w:rPr>
        <w:rFonts w:cs="Arial"/>
        <w:noProof/>
        <w:color w:val="649321"/>
        <w:sz w:val="44"/>
        <w:szCs w:val="44"/>
        <w:bdr w:val="none" w:sz="0" w:space="0" w:color="auto" w:frame="1"/>
        <w:shd w:val="clear" w:color="auto" w:fill="FFFFFF"/>
      </w:rPr>
      <w:tab/>
    </w:r>
    <w:r>
      <w:rPr>
        <w:rFonts w:cs="Arial"/>
        <w:noProof/>
        <w:color w:val="649321"/>
        <w:sz w:val="44"/>
        <w:szCs w:val="44"/>
        <w:bdr w:val="none" w:sz="0" w:space="0" w:color="auto" w:frame="1"/>
        <w:shd w:val="clear" w:color="auto" w:fill="FFFFFF"/>
      </w:rPr>
      <w:tab/>
    </w:r>
    <w:r w:rsidRPr="00E00133">
      <w:rPr>
        <w:rFonts w:cs="Arial"/>
        <w:b/>
        <w:noProof/>
        <w:color w:val="649321"/>
        <w:sz w:val="40"/>
        <w:szCs w:val="40"/>
        <w:bdr w:val="none" w:sz="0" w:space="0" w:color="auto" w:frame="1"/>
        <w:shd w:val="clear" w:color="auto" w:fill="FFFFFF"/>
      </w:rPr>
      <w:t>Tenet Tax Daily</w:t>
    </w:r>
    <w:r w:rsidRPr="00E00133">
      <w:rPr>
        <w:rFonts w:cs="Arial"/>
        <w:b/>
        <w:noProof/>
        <w:color w:val="649321"/>
        <w:sz w:val="40"/>
        <w:szCs w:val="40"/>
        <w:bdr w:val="none" w:sz="0" w:space="0" w:color="auto" w:frame="1"/>
        <w:shd w:val="clear" w:color="auto" w:fill="FFFFFF"/>
      </w:rPr>
      <w:tab/>
    </w:r>
    <w:r w:rsidRPr="00E00133">
      <w:rPr>
        <w:rFonts w:cs="Arial"/>
        <w:b/>
        <w:noProof/>
        <w:color w:val="649321"/>
        <w:sz w:val="40"/>
        <w:szCs w:val="40"/>
        <w:bdr w:val="none" w:sz="0" w:space="0" w:color="auto" w:frame="1"/>
        <w:shd w:val="clear" w:color="auto" w:fill="FFFFFF"/>
      </w:rPr>
      <w:tab/>
    </w:r>
  </w:p>
  <w:p w:rsidR="00AC703A" w:rsidRDefault="002B46EF" w:rsidP="00AC703A">
    <w:pPr>
      <w:pStyle w:val="Header"/>
      <w:rPr>
        <w:rFonts w:cs="Arial"/>
        <w:b/>
        <w:noProof/>
        <w:color w:val="649321"/>
        <w:sz w:val="40"/>
        <w:szCs w:val="40"/>
        <w:bdr w:val="none" w:sz="0" w:space="0" w:color="auto" w:frame="1"/>
        <w:shd w:val="clear" w:color="auto" w:fill="FFFFFF"/>
      </w:rPr>
    </w:pPr>
    <w:r>
      <w:rPr>
        <w:rFonts w:cs="Arial"/>
        <w:b/>
        <w:noProof/>
        <w:color w:val="649321"/>
        <w:sz w:val="40"/>
        <w:szCs w:val="40"/>
        <w:bdr w:val="none" w:sz="0" w:space="0" w:color="auto" w:frame="1"/>
        <w:shd w:val="clear" w:color="auto" w:fill="FFFFFF"/>
      </w:rPr>
      <w:tab/>
    </w:r>
    <w:r>
      <w:rPr>
        <w:rFonts w:cs="Arial"/>
        <w:b/>
        <w:noProof/>
        <w:color w:val="649321"/>
        <w:sz w:val="40"/>
        <w:szCs w:val="40"/>
        <w:bdr w:val="none" w:sz="0" w:space="0" w:color="auto" w:frame="1"/>
        <w:shd w:val="clear" w:color="auto" w:fill="FFFFFF"/>
      </w:rPr>
      <w:tab/>
      <w:t>February</w:t>
    </w:r>
    <w:r w:rsidR="00AC703A" w:rsidRPr="00E00133">
      <w:rPr>
        <w:rFonts w:cs="Arial"/>
        <w:b/>
        <w:noProof/>
        <w:color w:val="649321"/>
        <w:sz w:val="40"/>
        <w:szCs w:val="40"/>
        <w:bdr w:val="none" w:sz="0" w:space="0" w:color="auto" w:frame="1"/>
        <w:shd w:val="clear" w:color="auto" w:fill="FFFFFF"/>
      </w:rPr>
      <w:t xml:space="preserve"> </w:t>
    </w:r>
    <w:r w:rsidR="00D4632F">
      <w:rPr>
        <w:rFonts w:cs="Arial"/>
        <w:b/>
        <w:noProof/>
        <w:color w:val="649321"/>
        <w:sz w:val="40"/>
        <w:szCs w:val="40"/>
        <w:bdr w:val="none" w:sz="0" w:space="0" w:color="auto" w:frame="1"/>
        <w:shd w:val="clear" w:color="auto" w:fill="FFFFFF"/>
      </w:rPr>
      <w:t>21</w:t>
    </w:r>
    <w:r w:rsidR="002949DA">
      <w:rPr>
        <w:rFonts w:cs="Arial"/>
        <w:b/>
        <w:noProof/>
        <w:color w:val="649321"/>
        <w:sz w:val="40"/>
        <w:szCs w:val="40"/>
        <w:bdr w:val="none" w:sz="0" w:space="0" w:color="auto" w:frame="1"/>
        <w:shd w:val="clear" w:color="auto" w:fill="FFFFFF"/>
      </w:rPr>
      <w:t>, 2014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CA3" w:rsidRDefault="00ED6C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0CD"/>
    <w:multiLevelType w:val="hybridMultilevel"/>
    <w:tmpl w:val="612A20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1E31C0C"/>
    <w:multiLevelType w:val="hybridMultilevel"/>
    <w:tmpl w:val="39109B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25148"/>
    <w:multiLevelType w:val="hybridMultilevel"/>
    <w:tmpl w:val="0AA48E3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4706FD0"/>
    <w:multiLevelType w:val="hybridMultilevel"/>
    <w:tmpl w:val="88AE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965FA"/>
    <w:multiLevelType w:val="hybridMultilevel"/>
    <w:tmpl w:val="02605BF6"/>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440B189B"/>
    <w:multiLevelType w:val="hybridMultilevel"/>
    <w:tmpl w:val="2A822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B357BB"/>
    <w:multiLevelType w:val="hybridMultilevel"/>
    <w:tmpl w:val="E8D02AA8"/>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7">
    <w:nsid w:val="4FC0364C"/>
    <w:multiLevelType w:val="hybridMultilevel"/>
    <w:tmpl w:val="908E3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E9B2232"/>
    <w:multiLevelType w:val="hybridMultilevel"/>
    <w:tmpl w:val="3D0E9570"/>
    <w:lvl w:ilvl="0" w:tplc="04090001">
      <w:start w:val="1"/>
      <w:numFmt w:val="bullet"/>
      <w:lvlText w:val=""/>
      <w:lvlJc w:val="left"/>
      <w:pPr>
        <w:ind w:left="454" w:hanging="360"/>
      </w:pPr>
      <w:rPr>
        <w:rFonts w:ascii="Symbol" w:hAnsi="Symbol"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9">
    <w:nsid w:val="70757604"/>
    <w:multiLevelType w:val="hybridMultilevel"/>
    <w:tmpl w:val="B584329E"/>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10">
    <w:nsid w:val="714D6354"/>
    <w:multiLevelType w:val="hybridMultilevel"/>
    <w:tmpl w:val="16AE8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6992ADA"/>
    <w:multiLevelType w:val="hybridMultilevel"/>
    <w:tmpl w:val="63E0EB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8"/>
  </w:num>
  <w:num w:numId="5">
    <w:abstractNumId w:val="11"/>
  </w:num>
  <w:num w:numId="6">
    <w:abstractNumId w:val="1"/>
  </w:num>
  <w:num w:numId="7">
    <w:abstractNumId w:val="2"/>
  </w:num>
  <w:num w:numId="8">
    <w:abstractNumId w:val="3"/>
  </w:num>
  <w:num w:numId="9">
    <w:abstractNumId w:val="0"/>
  </w:num>
  <w:num w:numId="10">
    <w:abstractNumId w:val="5"/>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46434"/>
  </w:hdrShapeDefaults>
  <w:footnotePr>
    <w:footnote w:id="0"/>
    <w:footnote w:id="1"/>
  </w:footnotePr>
  <w:endnotePr>
    <w:endnote w:id="0"/>
    <w:endnote w:id="1"/>
  </w:endnotePr>
  <w:compat/>
  <w:rsids>
    <w:rsidRoot w:val="00751260"/>
    <w:rsid w:val="00002772"/>
    <w:rsid w:val="00004BA3"/>
    <w:rsid w:val="00017F28"/>
    <w:rsid w:val="00036384"/>
    <w:rsid w:val="0006275A"/>
    <w:rsid w:val="00062ECF"/>
    <w:rsid w:val="000665E4"/>
    <w:rsid w:val="00087F16"/>
    <w:rsid w:val="0009538D"/>
    <w:rsid w:val="00095D13"/>
    <w:rsid w:val="000C1B79"/>
    <w:rsid w:val="000C74A5"/>
    <w:rsid w:val="000D1508"/>
    <w:rsid w:val="000E17C2"/>
    <w:rsid w:val="000E1E4F"/>
    <w:rsid w:val="000E44A2"/>
    <w:rsid w:val="000F434C"/>
    <w:rsid w:val="000F552F"/>
    <w:rsid w:val="00133269"/>
    <w:rsid w:val="001822A4"/>
    <w:rsid w:val="001B672D"/>
    <w:rsid w:val="001C3F7C"/>
    <w:rsid w:val="001C5F4D"/>
    <w:rsid w:val="001C7C43"/>
    <w:rsid w:val="001E0DD7"/>
    <w:rsid w:val="001F7095"/>
    <w:rsid w:val="00211B22"/>
    <w:rsid w:val="00212392"/>
    <w:rsid w:val="00232FBA"/>
    <w:rsid w:val="00240023"/>
    <w:rsid w:val="00243976"/>
    <w:rsid w:val="00264B35"/>
    <w:rsid w:val="0026631D"/>
    <w:rsid w:val="00270CC0"/>
    <w:rsid w:val="00271346"/>
    <w:rsid w:val="0028299E"/>
    <w:rsid w:val="00282CC3"/>
    <w:rsid w:val="00287E9E"/>
    <w:rsid w:val="002949DA"/>
    <w:rsid w:val="002A06FF"/>
    <w:rsid w:val="002B46EF"/>
    <w:rsid w:val="002C000A"/>
    <w:rsid w:val="002F4047"/>
    <w:rsid w:val="00301FB5"/>
    <w:rsid w:val="00305437"/>
    <w:rsid w:val="00307F0C"/>
    <w:rsid w:val="00321E64"/>
    <w:rsid w:val="00347D9D"/>
    <w:rsid w:val="00357A22"/>
    <w:rsid w:val="0036411B"/>
    <w:rsid w:val="00373099"/>
    <w:rsid w:val="00380DD1"/>
    <w:rsid w:val="003866C7"/>
    <w:rsid w:val="003A2AB2"/>
    <w:rsid w:val="003C098B"/>
    <w:rsid w:val="003C1D1F"/>
    <w:rsid w:val="003D09CA"/>
    <w:rsid w:val="003D0F7D"/>
    <w:rsid w:val="003D7AB9"/>
    <w:rsid w:val="003F0A7D"/>
    <w:rsid w:val="00420CC8"/>
    <w:rsid w:val="00477509"/>
    <w:rsid w:val="004833F5"/>
    <w:rsid w:val="00483834"/>
    <w:rsid w:val="00511847"/>
    <w:rsid w:val="005138C4"/>
    <w:rsid w:val="00522A24"/>
    <w:rsid w:val="00542594"/>
    <w:rsid w:val="0055390C"/>
    <w:rsid w:val="00561D75"/>
    <w:rsid w:val="005735B8"/>
    <w:rsid w:val="0059311A"/>
    <w:rsid w:val="005B0A06"/>
    <w:rsid w:val="005C0A30"/>
    <w:rsid w:val="005C4F9A"/>
    <w:rsid w:val="005D7C55"/>
    <w:rsid w:val="005E1256"/>
    <w:rsid w:val="005F5917"/>
    <w:rsid w:val="006249E6"/>
    <w:rsid w:val="006262BD"/>
    <w:rsid w:val="00650752"/>
    <w:rsid w:val="0067586B"/>
    <w:rsid w:val="00675C24"/>
    <w:rsid w:val="006771D5"/>
    <w:rsid w:val="0068145F"/>
    <w:rsid w:val="006A4777"/>
    <w:rsid w:val="006A67DB"/>
    <w:rsid w:val="006C1B5B"/>
    <w:rsid w:val="006E32D9"/>
    <w:rsid w:val="006F7146"/>
    <w:rsid w:val="00705E8B"/>
    <w:rsid w:val="007077AF"/>
    <w:rsid w:val="00713110"/>
    <w:rsid w:val="00722312"/>
    <w:rsid w:val="007422D2"/>
    <w:rsid w:val="00751260"/>
    <w:rsid w:val="00763A30"/>
    <w:rsid w:val="00774407"/>
    <w:rsid w:val="007B6DA1"/>
    <w:rsid w:val="007C4691"/>
    <w:rsid w:val="007D1D0D"/>
    <w:rsid w:val="007D4FB5"/>
    <w:rsid w:val="007F2A54"/>
    <w:rsid w:val="00815440"/>
    <w:rsid w:val="00823064"/>
    <w:rsid w:val="00840262"/>
    <w:rsid w:val="008568F4"/>
    <w:rsid w:val="008E38A4"/>
    <w:rsid w:val="008F19F0"/>
    <w:rsid w:val="008F5B00"/>
    <w:rsid w:val="008F61B2"/>
    <w:rsid w:val="008F723E"/>
    <w:rsid w:val="009231F1"/>
    <w:rsid w:val="00933381"/>
    <w:rsid w:val="00935E9E"/>
    <w:rsid w:val="00953F5C"/>
    <w:rsid w:val="00976F64"/>
    <w:rsid w:val="009820ED"/>
    <w:rsid w:val="0098242D"/>
    <w:rsid w:val="009833BB"/>
    <w:rsid w:val="00985627"/>
    <w:rsid w:val="009A1F36"/>
    <w:rsid w:val="009A26C8"/>
    <w:rsid w:val="009A704C"/>
    <w:rsid w:val="009B3A71"/>
    <w:rsid w:val="009D1C72"/>
    <w:rsid w:val="009E30CB"/>
    <w:rsid w:val="009F5C46"/>
    <w:rsid w:val="00A11061"/>
    <w:rsid w:val="00A13F06"/>
    <w:rsid w:val="00A20532"/>
    <w:rsid w:val="00A235ED"/>
    <w:rsid w:val="00A23DAF"/>
    <w:rsid w:val="00A27CB2"/>
    <w:rsid w:val="00A42B1B"/>
    <w:rsid w:val="00A460AE"/>
    <w:rsid w:val="00A60911"/>
    <w:rsid w:val="00A72002"/>
    <w:rsid w:val="00A738E4"/>
    <w:rsid w:val="00A9579B"/>
    <w:rsid w:val="00AC703A"/>
    <w:rsid w:val="00AF09DF"/>
    <w:rsid w:val="00B51C19"/>
    <w:rsid w:val="00B81EF6"/>
    <w:rsid w:val="00B91C86"/>
    <w:rsid w:val="00BA24F9"/>
    <w:rsid w:val="00BB4232"/>
    <w:rsid w:val="00BC1F9C"/>
    <w:rsid w:val="00BC3FA3"/>
    <w:rsid w:val="00BD4346"/>
    <w:rsid w:val="00BD54E4"/>
    <w:rsid w:val="00BD586B"/>
    <w:rsid w:val="00BF303C"/>
    <w:rsid w:val="00BF77D0"/>
    <w:rsid w:val="00C03C1E"/>
    <w:rsid w:val="00C12C8A"/>
    <w:rsid w:val="00C150D3"/>
    <w:rsid w:val="00C24BD4"/>
    <w:rsid w:val="00C43F73"/>
    <w:rsid w:val="00C446CC"/>
    <w:rsid w:val="00C52517"/>
    <w:rsid w:val="00C672D9"/>
    <w:rsid w:val="00CD56B3"/>
    <w:rsid w:val="00CD6B74"/>
    <w:rsid w:val="00CE1D9F"/>
    <w:rsid w:val="00CE4F54"/>
    <w:rsid w:val="00CE4FD7"/>
    <w:rsid w:val="00D35181"/>
    <w:rsid w:val="00D43505"/>
    <w:rsid w:val="00D4632F"/>
    <w:rsid w:val="00DA48BE"/>
    <w:rsid w:val="00DA55C7"/>
    <w:rsid w:val="00DC10DD"/>
    <w:rsid w:val="00DC63EB"/>
    <w:rsid w:val="00DD2C63"/>
    <w:rsid w:val="00DF0493"/>
    <w:rsid w:val="00DF52FD"/>
    <w:rsid w:val="00DF67E5"/>
    <w:rsid w:val="00E00133"/>
    <w:rsid w:val="00E26F5D"/>
    <w:rsid w:val="00E30DB6"/>
    <w:rsid w:val="00E30EA4"/>
    <w:rsid w:val="00E46351"/>
    <w:rsid w:val="00E516BF"/>
    <w:rsid w:val="00E51CCB"/>
    <w:rsid w:val="00E7194E"/>
    <w:rsid w:val="00E72FE5"/>
    <w:rsid w:val="00E90BCE"/>
    <w:rsid w:val="00E9445C"/>
    <w:rsid w:val="00EA5A89"/>
    <w:rsid w:val="00ED6CA3"/>
    <w:rsid w:val="00EE13F3"/>
    <w:rsid w:val="00EE3921"/>
    <w:rsid w:val="00F31D63"/>
    <w:rsid w:val="00F33376"/>
    <w:rsid w:val="00F81D94"/>
    <w:rsid w:val="00F95593"/>
    <w:rsid w:val="00FA32B1"/>
    <w:rsid w:val="00FC2AC3"/>
    <w:rsid w:val="00FC5F77"/>
    <w:rsid w:val="00FD134A"/>
    <w:rsid w:val="00FD4AE7"/>
    <w:rsid w:val="00FE4963"/>
    <w:rsid w:val="00FF41C5"/>
    <w:rsid w:val="00FF5041"/>
    <w:rsid w:val="00FF74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6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260"/>
  </w:style>
  <w:style w:type="paragraph" w:styleId="Footer">
    <w:name w:val="footer"/>
    <w:basedOn w:val="Normal"/>
    <w:link w:val="FooterChar"/>
    <w:uiPriority w:val="99"/>
    <w:unhideWhenUsed/>
    <w:rsid w:val="00751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260"/>
  </w:style>
  <w:style w:type="paragraph" w:styleId="BalloonText">
    <w:name w:val="Balloon Text"/>
    <w:basedOn w:val="Normal"/>
    <w:link w:val="BalloonTextChar"/>
    <w:uiPriority w:val="99"/>
    <w:semiHidden/>
    <w:unhideWhenUsed/>
    <w:rsid w:val="00751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260"/>
    <w:rPr>
      <w:rFonts w:ascii="Tahoma" w:hAnsi="Tahoma" w:cs="Tahoma"/>
      <w:sz w:val="16"/>
      <w:szCs w:val="16"/>
    </w:rPr>
  </w:style>
  <w:style w:type="character" w:styleId="Hyperlink">
    <w:name w:val="Hyperlink"/>
    <w:basedOn w:val="DefaultParagraphFont"/>
    <w:uiPriority w:val="99"/>
    <w:unhideWhenUsed/>
    <w:rsid w:val="00751260"/>
    <w:rPr>
      <w:color w:val="0000FF" w:themeColor="hyperlink"/>
      <w:u w:val="single"/>
    </w:rPr>
  </w:style>
  <w:style w:type="paragraph" w:styleId="NormalWeb">
    <w:name w:val="Normal (Web)"/>
    <w:basedOn w:val="Normal"/>
    <w:uiPriority w:val="99"/>
    <w:unhideWhenUsed/>
    <w:rsid w:val="007422D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2594"/>
    <w:pPr>
      <w:ind w:left="720"/>
      <w:contextualSpacing/>
    </w:pPr>
  </w:style>
</w:styles>
</file>

<file path=word/webSettings.xml><?xml version="1.0" encoding="utf-8"?>
<w:webSettings xmlns:r="http://schemas.openxmlformats.org/officeDocument/2006/relationships" xmlns:w="http://schemas.openxmlformats.org/wordprocessingml/2006/main">
  <w:divs>
    <w:div w:id="90712012">
      <w:bodyDiv w:val="1"/>
      <w:marLeft w:val="0"/>
      <w:marRight w:val="0"/>
      <w:marTop w:val="0"/>
      <w:marBottom w:val="0"/>
      <w:divBdr>
        <w:top w:val="none" w:sz="0" w:space="0" w:color="auto"/>
        <w:left w:val="none" w:sz="0" w:space="0" w:color="auto"/>
        <w:bottom w:val="none" w:sz="0" w:space="0" w:color="auto"/>
        <w:right w:val="none" w:sz="0" w:space="0" w:color="auto"/>
      </w:divBdr>
    </w:div>
    <w:div w:id="306056716">
      <w:bodyDiv w:val="1"/>
      <w:marLeft w:val="0"/>
      <w:marRight w:val="0"/>
      <w:marTop w:val="0"/>
      <w:marBottom w:val="0"/>
      <w:divBdr>
        <w:top w:val="none" w:sz="0" w:space="0" w:color="auto"/>
        <w:left w:val="none" w:sz="0" w:space="0" w:color="auto"/>
        <w:bottom w:val="none" w:sz="0" w:space="0" w:color="auto"/>
        <w:right w:val="none" w:sz="0" w:space="0" w:color="auto"/>
      </w:divBdr>
    </w:div>
    <w:div w:id="335882166">
      <w:bodyDiv w:val="1"/>
      <w:marLeft w:val="0"/>
      <w:marRight w:val="0"/>
      <w:marTop w:val="0"/>
      <w:marBottom w:val="0"/>
      <w:divBdr>
        <w:top w:val="none" w:sz="0" w:space="0" w:color="auto"/>
        <w:left w:val="none" w:sz="0" w:space="0" w:color="auto"/>
        <w:bottom w:val="none" w:sz="0" w:space="0" w:color="auto"/>
        <w:right w:val="none" w:sz="0" w:space="0" w:color="auto"/>
      </w:divBdr>
    </w:div>
    <w:div w:id="513349108">
      <w:bodyDiv w:val="1"/>
      <w:marLeft w:val="0"/>
      <w:marRight w:val="0"/>
      <w:marTop w:val="0"/>
      <w:marBottom w:val="0"/>
      <w:divBdr>
        <w:top w:val="none" w:sz="0" w:space="0" w:color="auto"/>
        <w:left w:val="none" w:sz="0" w:space="0" w:color="auto"/>
        <w:bottom w:val="none" w:sz="0" w:space="0" w:color="auto"/>
        <w:right w:val="none" w:sz="0" w:space="0" w:color="auto"/>
      </w:divBdr>
    </w:div>
    <w:div w:id="621812613">
      <w:bodyDiv w:val="1"/>
      <w:marLeft w:val="0"/>
      <w:marRight w:val="0"/>
      <w:marTop w:val="0"/>
      <w:marBottom w:val="0"/>
      <w:divBdr>
        <w:top w:val="none" w:sz="0" w:space="0" w:color="auto"/>
        <w:left w:val="none" w:sz="0" w:space="0" w:color="auto"/>
        <w:bottom w:val="none" w:sz="0" w:space="0" w:color="auto"/>
        <w:right w:val="none" w:sz="0" w:space="0" w:color="auto"/>
      </w:divBdr>
    </w:div>
    <w:div w:id="646862106">
      <w:bodyDiv w:val="1"/>
      <w:marLeft w:val="0"/>
      <w:marRight w:val="0"/>
      <w:marTop w:val="0"/>
      <w:marBottom w:val="0"/>
      <w:divBdr>
        <w:top w:val="none" w:sz="0" w:space="0" w:color="auto"/>
        <w:left w:val="none" w:sz="0" w:space="0" w:color="auto"/>
        <w:bottom w:val="none" w:sz="0" w:space="0" w:color="auto"/>
        <w:right w:val="none" w:sz="0" w:space="0" w:color="auto"/>
      </w:divBdr>
    </w:div>
    <w:div w:id="697393249">
      <w:bodyDiv w:val="1"/>
      <w:marLeft w:val="0"/>
      <w:marRight w:val="0"/>
      <w:marTop w:val="0"/>
      <w:marBottom w:val="0"/>
      <w:divBdr>
        <w:top w:val="none" w:sz="0" w:space="0" w:color="auto"/>
        <w:left w:val="none" w:sz="0" w:space="0" w:color="auto"/>
        <w:bottom w:val="none" w:sz="0" w:space="0" w:color="auto"/>
        <w:right w:val="none" w:sz="0" w:space="0" w:color="auto"/>
      </w:divBdr>
      <w:divsChild>
        <w:div w:id="2129663555">
          <w:marLeft w:val="0"/>
          <w:marRight w:val="0"/>
          <w:marTop w:val="0"/>
          <w:marBottom w:val="0"/>
          <w:divBdr>
            <w:top w:val="none" w:sz="0" w:space="0" w:color="auto"/>
            <w:left w:val="none" w:sz="0" w:space="0" w:color="auto"/>
            <w:bottom w:val="none" w:sz="0" w:space="0" w:color="auto"/>
            <w:right w:val="none" w:sz="0" w:space="0" w:color="auto"/>
          </w:divBdr>
          <w:divsChild>
            <w:div w:id="16812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2264">
      <w:bodyDiv w:val="1"/>
      <w:marLeft w:val="0"/>
      <w:marRight w:val="0"/>
      <w:marTop w:val="0"/>
      <w:marBottom w:val="0"/>
      <w:divBdr>
        <w:top w:val="none" w:sz="0" w:space="0" w:color="auto"/>
        <w:left w:val="none" w:sz="0" w:space="0" w:color="auto"/>
        <w:bottom w:val="none" w:sz="0" w:space="0" w:color="auto"/>
        <w:right w:val="none" w:sz="0" w:space="0" w:color="auto"/>
      </w:divBdr>
    </w:div>
    <w:div w:id="985940261">
      <w:bodyDiv w:val="1"/>
      <w:marLeft w:val="0"/>
      <w:marRight w:val="0"/>
      <w:marTop w:val="0"/>
      <w:marBottom w:val="0"/>
      <w:divBdr>
        <w:top w:val="none" w:sz="0" w:space="0" w:color="auto"/>
        <w:left w:val="none" w:sz="0" w:space="0" w:color="auto"/>
        <w:bottom w:val="none" w:sz="0" w:space="0" w:color="auto"/>
        <w:right w:val="none" w:sz="0" w:space="0" w:color="auto"/>
      </w:divBdr>
    </w:div>
    <w:div w:id="1027170604">
      <w:bodyDiv w:val="1"/>
      <w:marLeft w:val="0"/>
      <w:marRight w:val="0"/>
      <w:marTop w:val="0"/>
      <w:marBottom w:val="0"/>
      <w:divBdr>
        <w:top w:val="none" w:sz="0" w:space="0" w:color="auto"/>
        <w:left w:val="none" w:sz="0" w:space="0" w:color="auto"/>
        <w:bottom w:val="none" w:sz="0" w:space="0" w:color="auto"/>
        <w:right w:val="none" w:sz="0" w:space="0" w:color="auto"/>
      </w:divBdr>
    </w:div>
    <w:div w:id="1197768226">
      <w:bodyDiv w:val="1"/>
      <w:marLeft w:val="0"/>
      <w:marRight w:val="0"/>
      <w:marTop w:val="0"/>
      <w:marBottom w:val="0"/>
      <w:divBdr>
        <w:top w:val="none" w:sz="0" w:space="0" w:color="auto"/>
        <w:left w:val="none" w:sz="0" w:space="0" w:color="auto"/>
        <w:bottom w:val="none" w:sz="0" w:space="0" w:color="auto"/>
        <w:right w:val="none" w:sz="0" w:space="0" w:color="auto"/>
      </w:divBdr>
    </w:div>
    <w:div w:id="1198816911">
      <w:bodyDiv w:val="1"/>
      <w:marLeft w:val="0"/>
      <w:marRight w:val="0"/>
      <w:marTop w:val="0"/>
      <w:marBottom w:val="0"/>
      <w:divBdr>
        <w:top w:val="none" w:sz="0" w:space="0" w:color="auto"/>
        <w:left w:val="none" w:sz="0" w:space="0" w:color="auto"/>
        <w:bottom w:val="none" w:sz="0" w:space="0" w:color="auto"/>
        <w:right w:val="none" w:sz="0" w:space="0" w:color="auto"/>
      </w:divBdr>
    </w:div>
    <w:div w:id="1252423611">
      <w:bodyDiv w:val="1"/>
      <w:marLeft w:val="0"/>
      <w:marRight w:val="0"/>
      <w:marTop w:val="0"/>
      <w:marBottom w:val="0"/>
      <w:divBdr>
        <w:top w:val="none" w:sz="0" w:space="0" w:color="auto"/>
        <w:left w:val="none" w:sz="0" w:space="0" w:color="auto"/>
        <w:bottom w:val="none" w:sz="0" w:space="0" w:color="auto"/>
        <w:right w:val="none" w:sz="0" w:space="0" w:color="auto"/>
      </w:divBdr>
    </w:div>
    <w:div w:id="1280070179">
      <w:bodyDiv w:val="1"/>
      <w:marLeft w:val="0"/>
      <w:marRight w:val="0"/>
      <w:marTop w:val="0"/>
      <w:marBottom w:val="0"/>
      <w:divBdr>
        <w:top w:val="none" w:sz="0" w:space="0" w:color="auto"/>
        <w:left w:val="none" w:sz="0" w:space="0" w:color="auto"/>
        <w:bottom w:val="none" w:sz="0" w:space="0" w:color="auto"/>
        <w:right w:val="none" w:sz="0" w:space="0" w:color="auto"/>
      </w:divBdr>
    </w:div>
    <w:div w:id="1333143815">
      <w:bodyDiv w:val="1"/>
      <w:marLeft w:val="0"/>
      <w:marRight w:val="0"/>
      <w:marTop w:val="0"/>
      <w:marBottom w:val="0"/>
      <w:divBdr>
        <w:top w:val="none" w:sz="0" w:space="0" w:color="auto"/>
        <w:left w:val="none" w:sz="0" w:space="0" w:color="auto"/>
        <w:bottom w:val="none" w:sz="0" w:space="0" w:color="auto"/>
        <w:right w:val="none" w:sz="0" w:space="0" w:color="auto"/>
      </w:divBdr>
    </w:div>
    <w:div w:id="1427649703">
      <w:bodyDiv w:val="1"/>
      <w:marLeft w:val="0"/>
      <w:marRight w:val="0"/>
      <w:marTop w:val="0"/>
      <w:marBottom w:val="0"/>
      <w:divBdr>
        <w:top w:val="none" w:sz="0" w:space="0" w:color="auto"/>
        <w:left w:val="none" w:sz="0" w:space="0" w:color="auto"/>
        <w:bottom w:val="none" w:sz="0" w:space="0" w:color="auto"/>
        <w:right w:val="none" w:sz="0" w:space="0" w:color="auto"/>
      </w:divBdr>
    </w:div>
    <w:div w:id="1562473336">
      <w:bodyDiv w:val="1"/>
      <w:marLeft w:val="0"/>
      <w:marRight w:val="0"/>
      <w:marTop w:val="0"/>
      <w:marBottom w:val="0"/>
      <w:divBdr>
        <w:top w:val="none" w:sz="0" w:space="0" w:color="auto"/>
        <w:left w:val="none" w:sz="0" w:space="0" w:color="auto"/>
        <w:bottom w:val="none" w:sz="0" w:space="0" w:color="auto"/>
        <w:right w:val="none" w:sz="0" w:space="0" w:color="auto"/>
      </w:divBdr>
    </w:div>
    <w:div w:id="1685982231">
      <w:bodyDiv w:val="1"/>
      <w:marLeft w:val="0"/>
      <w:marRight w:val="0"/>
      <w:marTop w:val="0"/>
      <w:marBottom w:val="0"/>
      <w:divBdr>
        <w:top w:val="none" w:sz="0" w:space="0" w:color="auto"/>
        <w:left w:val="none" w:sz="0" w:space="0" w:color="auto"/>
        <w:bottom w:val="none" w:sz="0" w:space="0" w:color="auto"/>
        <w:right w:val="none" w:sz="0" w:space="0" w:color="auto"/>
      </w:divBdr>
      <w:divsChild>
        <w:div w:id="1315833115">
          <w:marLeft w:val="0"/>
          <w:marRight w:val="0"/>
          <w:marTop w:val="0"/>
          <w:marBottom w:val="0"/>
          <w:divBdr>
            <w:top w:val="none" w:sz="0" w:space="0" w:color="auto"/>
            <w:left w:val="none" w:sz="0" w:space="0" w:color="auto"/>
            <w:bottom w:val="none" w:sz="0" w:space="0" w:color="auto"/>
            <w:right w:val="none" w:sz="0" w:space="0" w:color="auto"/>
          </w:divBdr>
          <w:divsChild>
            <w:div w:id="3454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4255">
      <w:bodyDiv w:val="1"/>
      <w:marLeft w:val="0"/>
      <w:marRight w:val="0"/>
      <w:marTop w:val="0"/>
      <w:marBottom w:val="0"/>
      <w:divBdr>
        <w:top w:val="none" w:sz="0" w:space="0" w:color="auto"/>
        <w:left w:val="none" w:sz="0" w:space="0" w:color="auto"/>
        <w:bottom w:val="none" w:sz="0" w:space="0" w:color="auto"/>
        <w:right w:val="none" w:sz="0" w:space="0" w:color="auto"/>
      </w:divBdr>
    </w:div>
    <w:div w:id="1768842437">
      <w:bodyDiv w:val="1"/>
      <w:marLeft w:val="0"/>
      <w:marRight w:val="0"/>
      <w:marTop w:val="0"/>
      <w:marBottom w:val="0"/>
      <w:divBdr>
        <w:top w:val="none" w:sz="0" w:space="0" w:color="auto"/>
        <w:left w:val="none" w:sz="0" w:space="0" w:color="auto"/>
        <w:bottom w:val="none" w:sz="0" w:space="0" w:color="auto"/>
        <w:right w:val="none" w:sz="0" w:space="0" w:color="auto"/>
      </w:divBdr>
    </w:div>
    <w:div w:id="1801025684">
      <w:bodyDiv w:val="1"/>
      <w:marLeft w:val="0"/>
      <w:marRight w:val="0"/>
      <w:marTop w:val="0"/>
      <w:marBottom w:val="0"/>
      <w:divBdr>
        <w:top w:val="none" w:sz="0" w:space="0" w:color="auto"/>
        <w:left w:val="none" w:sz="0" w:space="0" w:color="auto"/>
        <w:bottom w:val="none" w:sz="0" w:space="0" w:color="auto"/>
        <w:right w:val="none" w:sz="0" w:space="0" w:color="auto"/>
      </w:divBdr>
    </w:div>
    <w:div w:id="1858306020">
      <w:bodyDiv w:val="1"/>
      <w:marLeft w:val="0"/>
      <w:marRight w:val="0"/>
      <w:marTop w:val="0"/>
      <w:marBottom w:val="0"/>
      <w:divBdr>
        <w:top w:val="none" w:sz="0" w:space="0" w:color="auto"/>
        <w:left w:val="none" w:sz="0" w:space="0" w:color="auto"/>
        <w:bottom w:val="none" w:sz="0" w:space="0" w:color="auto"/>
        <w:right w:val="none" w:sz="0" w:space="0" w:color="auto"/>
      </w:divBdr>
    </w:div>
    <w:div w:id="2081049932">
      <w:bodyDiv w:val="1"/>
      <w:marLeft w:val="0"/>
      <w:marRight w:val="0"/>
      <w:marTop w:val="0"/>
      <w:marBottom w:val="0"/>
      <w:divBdr>
        <w:top w:val="none" w:sz="0" w:space="0" w:color="auto"/>
        <w:left w:val="none" w:sz="0" w:space="0" w:color="auto"/>
        <w:bottom w:val="none" w:sz="0" w:space="0" w:color="auto"/>
        <w:right w:val="none" w:sz="0" w:space="0" w:color="auto"/>
      </w:divBdr>
    </w:div>
    <w:div w:id="210764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enettaxlega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C2FF6-FFA6-4243-9243-AF031F95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Sumeet</cp:lastModifiedBy>
  <cp:revision>48</cp:revision>
  <cp:lastPrinted>2014-02-22T05:38:00Z</cp:lastPrinted>
  <dcterms:created xsi:type="dcterms:W3CDTF">2013-07-13T05:17:00Z</dcterms:created>
  <dcterms:modified xsi:type="dcterms:W3CDTF">2014-02-22T05:38:00Z</dcterms:modified>
</cp:coreProperties>
</file>